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6F7E" w14:textId="77777777" w:rsidR="008472E5" w:rsidRDefault="008472E5">
      <w:pPr>
        <w:pStyle w:val="BodyText"/>
        <w:spacing w:before="3"/>
        <w:ind w:left="0"/>
        <w:rPr>
          <w:rFonts w:ascii="Times New Roman"/>
          <w:sz w:val="23"/>
        </w:rPr>
      </w:pPr>
    </w:p>
    <w:p w14:paraId="05AFE76E" w14:textId="77777777" w:rsidR="008472E5" w:rsidRDefault="00BF23EE">
      <w:pPr>
        <w:pStyle w:val="BodyText"/>
        <w:rPr>
          <w:rFonts w:ascii="Times New Roman"/>
          <w:sz w:val="20"/>
        </w:rPr>
      </w:pPr>
      <w:r>
        <w:rPr>
          <w:rFonts w:ascii="Times New Roman"/>
          <w:sz w:val="20"/>
        </w:rPr>
      </w:r>
      <w:r>
        <w:rPr>
          <w:rFonts w:ascii="Times New Roman"/>
          <w:sz w:val="20"/>
        </w:rPr>
        <w:pict w14:anchorId="0F058362">
          <v:shapetype id="_x0000_t202" coordsize="21600,21600" o:spt="202" path="m,l,21600r21600,l21600,xe">
            <v:stroke joinstyle="miter"/>
            <v:path gradientshapeok="t" o:connecttype="rect"/>
          </v:shapetype>
          <v:shape id="docshape4" o:spid="_x0000_s1026" type="#_x0000_t202" style="width:467.6pt;height:141.9pt;mso-left-percent:-10001;mso-top-percent:-10001;mso-position-horizontal:absolute;mso-position-horizontal-relative:char;mso-position-vertical:absolute;mso-position-vertical-relative:line;mso-left-percent:-10001;mso-top-percent:-10001" fillcolor="#d9d9d9" strokeweight=".48pt">
            <v:textbox inset="0,0,0,0">
              <w:txbxContent>
                <w:p w14:paraId="7A85370C" w14:textId="77777777" w:rsidR="008472E5" w:rsidRDefault="008472E5">
                  <w:pPr>
                    <w:pStyle w:val="BodyText"/>
                    <w:spacing w:before="1"/>
                    <w:ind w:left="0"/>
                    <w:rPr>
                      <w:rFonts w:ascii="Times New Roman"/>
                      <w:color w:val="000000"/>
                      <w:sz w:val="65"/>
                    </w:rPr>
                  </w:pPr>
                </w:p>
                <w:p w14:paraId="639DC324" w14:textId="77777777" w:rsidR="008472E5" w:rsidRDefault="00BF23EE">
                  <w:pPr>
                    <w:spacing w:before="1" w:line="204" w:lineRule="auto"/>
                    <w:ind w:left="103" w:right="2928"/>
                    <w:rPr>
                      <w:rFonts w:ascii="Calibri Light"/>
                      <w:color w:val="000000"/>
                      <w:sz w:val="72"/>
                    </w:rPr>
                  </w:pPr>
                  <w:r>
                    <w:rPr>
                      <w:rFonts w:ascii="Calibri Light"/>
                      <w:color w:val="000000"/>
                      <w:spacing w:val="-12"/>
                      <w:sz w:val="72"/>
                    </w:rPr>
                    <w:t>MAKING</w:t>
                  </w:r>
                  <w:r>
                    <w:rPr>
                      <w:rFonts w:ascii="Calibri Light"/>
                      <w:color w:val="000000"/>
                      <w:spacing w:val="-29"/>
                      <w:sz w:val="72"/>
                    </w:rPr>
                    <w:t xml:space="preserve"> </w:t>
                  </w:r>
                  <w:r>
                    <w:rPr>
                      <w:rFonts w:ascii="Calibri Light"/>
                      <w:color w:val="000000"/>
                      <w:spacing w:val="-12"/>
                      <w:sz w:val="72"/>
                    </w:rPr>
                    <w:t>TAX</w:t>
                  </w:r>
                  <w:r>
                    <w:rPr>
                      <w:rFonts w:ascii="Calibri Light"/>
                      <w:color w:val="000000"/>
                      <w:spacing w:val="-30"/>
                      <w:sz w:val="72"/>
                    </w:rPr>
                    <w:t xml:space="preserve"> </w:t>
                  </w:r>
                  <w:r>
                    <w:rPr>
                      <w:rFonts w:ascii="Calibri Light"/>
                      <w:color w:val="000000"/>
                      <w:spacing w:val="-12"/>
                      <w:sz w:val="72"/>
                    </w:rPr>
                    <w:t>DIGITAL</w:t>
                  </w:r>
                  <w:r>
                    <w:rPr>
                      <w:rFonts w:ascii="Calibri Light"/>
                      <w:color w:val="000000"/>
                      <w:spacing w:val="-29"/>
                      <w:sz w:val="72"/>
                    </w:rPr>
                    <w:t xml:space="preserve"> </w:t>
                  </w:r>
                  <w:r>
                    <w:rPr>
                      <w:rFonts w:ascii="Calibri Light"/>
                      <w:color w:val="000000"/>
                      <w:spacing w:val="-12"/>
                      <w:sz w:val="72"/>
                    </w:rPr>
                    <w:t xml:space="preserve">- </w:t>
                  </w:r>
                  <w:r>
                    <w:rPr>
                      <w:rFonts w:ascii="Calibri Light"/>
                      <w:color w:val="000000"/>
                      <w:spacing w:val="-2"/>
                      <w:sz w:val="72"/>
                    </w:rPr>
                    <w:t>FACTSHEET</w:t>
                  </w:r>
                </w:p>
              </w:txbxContent>
            </v:textbox>
            <w10:anchorlock/>
          </v:shape>
        </w:pict>
      </w:r>
    </w:p>
    <w:p w14:paraId="484E1258" w14:textId="77777777" w:rsidR="008472E5" w:rsidRDefault="008472E5">
      <w:pPr>
        <w:pStyle w:val="BodyText"/>
        <w:ind w:left="0"/>
        <w:rPr>
          <w:rFonts w:ascii="Times New Roman"/>
          <w:sz w:val="20"/>
        </w:rPr>
      </w:pPr>
    </w:p>
    <w:p w14:paraId="76229A53" w14:textId="77777777" w:rsidR="008472E5" w:rsidRDefault="008472E5">
      <w:pPr>
        <w:pStyle w:val="BodyText"/>
        <w:ind w:left="0"/>
        <w:rPr>
          <w:rFonts w:ascii="Times New Roman"/>
          <w:sz w:val="20"/>
        </w:rPr>
      </w:pPr>
    </w:p>
    <w:p w14:paraId="2887529F" w14:textId="77777777" w:rsidR="008472E5" w:rsidRDefault="00BF23EE">
      <w:pPr>
        <w:pStyle w:val="Heading1"/>
        <w:spacing w:before="162"/>
      </w:pPr>
      <w:r>
        <w:rPr>
          <w:color w:val="1F3863"/>
          <w:spacing w:val="-2"/>
        </w:rPr>
        <w:t>Overview</w:t>
      </w:r>
    </w:p>
    <w:p w14:paraId="6A7969F6" w14:textId="77777777" w:rsidR="008472E5" w:rsidRDefault="00BF23EE">
      <w:pPr>
        <w:pStyle w:val="BodyText"/>
        <w:spacing w:before="37" w:line="259" w:lineRule="auto"/>
        <w:ind w:right="107"/>
      </w:pPr>
      <w:r>
        <w:t>Announced back in</w:t>
      </w:r>
      <w:r>
        <w:rPr>
          <w:spacing w:val="-3"/>
        </w:rPr>
        <w:t xml:space="preserve"> </w:t>
      </w:r>
      <w:r>
        <w:t>2015,</w:t>
      </w:r>
      <w:r>
        <w:rPr>
          <w:spacing w:val="-2"/>
        </w:rPr>
        <w:t xml:space="preserve"> </w:t>
      </w:r>
      <w:r>
        <w:t>“Making</w:t>
      </w:r>
      <w:r>
        <w:rPr>
          <w:spacing w:val="-1"/>
        </w:rPr>
        <w:t xml:space="preserve"> </w:t>
      </w:r>
      <w:r>
        <w:t>Tax</w:t>
      </w:r>
      <w:r>
        <w:rPr>
          <w:spacing w:val="-2"/>
        </w:rPr>
        <w:t xml:space="preserve"> </w:t>
      </w:r>
      <w:r>
        <w:t>Digital” (MTD) is part</w:t>
      </w:r>
      <w:r>
        <w:rPr>
          <w:spacing w:val="-2"/>
        </w:rPr>
        <w:t xml:space="preserve"> </w:t>
      </w:r>
      <w:r>
        <w:t>of HMRC’s initiative to become</w:t>
      </w:r>
      <w:r>
        <w:rPr>
          <w:spacing w:val="-1"/>
        </w:rPr>
        <w:t xml:space="preserve"> </w:t>
      </w:r>
      <w:r>
        <w:t>one</w:t>
      </w:r>
      <w:r>
        <w:rPr>
          <w:spacing w:val="-2"/>
        </w:rPr>
        <w:t xml:space="preserve"> </w:t>
      </w:r>
      <w:r>
        <w:t>of</w:t>
      </w:r>
      <w:r>
        <w:rPr>
          <w:spacing w:val="-3"/>
        </w:rPr>
        <w:t xml:space="preserve"> </w:t>
      </w:r>
      <w:r>
        <w:t>the most</w:t>
      </w:r>
      <w:r>
        <w:rPr>
          <w:spacing w:val="-1"/>
        </w:rPr>
        <w:t xml:space="preserve"> </w:t>
      </w:r>
      <w:r>
        <w:t>advanced</w:t>
      </w:r>
      <w:r>
        <w:rPr>
          <w:spacing w:val="-4"/>
        </w:rPr>
        <w:t xml:space="preserve"> </w:t>
      </w:r>
      <w:r>
        <w:t>tax</w:t>
      </w:r>
      <w:r>
        <w:rPr>
          <w:spacing w:val="-2"/>
        </w:rPr>
        <w:t xml:space="preserve"> </w:t>
      </w:r>
      <w:r>
        <w:t>administrations</w:t>
      </w:r>
      <w:r>
        <w:rPr>
          <w:spacing w:val="-5"/>
        </w:rPr>
        <w:t xml:space="preserve"> </w:t>
      </w:r>
      <w:r>
        <w:t>in</w:t>
      </w:r>
      <w:r>
        <w:rPr>
          <w:spacing w:val="-2"/>
        </w:rPr>
        <w:t xml:space="preserve"> </w:t>
      </w:r>
      <w:r>
        <w:t>the</w:t>
      </w:r>
      <w:r>
        <w:rPr>
          <w:spacing w:val="-4"/>
        </w:rPr>
        <w:t xml:space="preserve"> </w:t>
      </w:r>
      <w:r>
        <w:t>world.</w:t>
      </w:r>
      <w:r>
        <w:rPr>
          <w:spacing w:val="-2"/>
        </w:rPr>
        <w:t xml:space="preserve"> </w:t>
      </w:r>
      <w:r>
        <w:t>It</w:t>
      </w:r>
      <w:r>
        <w:rPr>
          <w:spacing w:val="-2"/>
        </w:rPr>
        <w:t xml:space="preserve"> </w:t>
      </w:r>
      <w:r>
        <w:t>encompasses</w:t>
      </w:r>
      <w:r>
        <w:rPr>
          <w:spacing w:val="-3"/>
        </w:rPr>
        <w:t xml:space="preserve"> </w:t>
      </w:r>
      <w:proofErr w:type="spellStart"/>
      <w:r>
        <w:t>modernising</w:t>
      </w:r>
      <w:proofErr w:type="spellEnd"/>
      <w:r>
        <w:rPr>
          <w:spacing w:val="-3"/>
        </w:rPr>
        <w:t xml:space="preserve"> </w:t>
      </w:r>
      <w:r>
        <w:t>the</w:t>
      </w:r>
      <w:r>
        <w:rPr>
          <w:spacing w:val="-4"/>
        </w:rPr>
        <w:t xml:space="preserve"> </w:t>
      </w:r>
      <w:r>
        <w:t>tax</w:t>
      </w:r>
      <w:r>
        <w:rPr>
          <w:spacing w:val="-1"/>
        </w:rPr>
        <w:t xml:space="preserve"> </w:t>
      </w:r>
      <w:r>
        <w:t>process,</w:t>
      </w:r>
      <w:r>
        <w:rPr>
          <w:spacing w:val="-2"/>
        </w:rPr>
        <w:t xml:space="preserve"> </w:t>
      </w:r>
      <w:r>
        <w:t>allowing for data to be both accessible and submitted digitally.</w:t>
      </w:r>
      <w:r>
        <w:rPr>
          <w:spacing w:val="40"/>
        </w:rPr>
        <w:t xml:space="preserve"> </w:t>
      </w:r>
      <w:r>
        <w:t>Ultimately, it will replace the current Self- assessment process, which has been in place for over twenty years, and is based on a paper tax form.</w:t>
      </w:r>
    </w:p>
    <w:p w14:paraId="4EE2F827" w14:textId="77777777" w:rsidR="008472E5" w:rsidRDefault="00BF23EE">
      <w:pPr>
        <w:pStyle w:val="BodyText"/>
        <w:spacing w:before="161" w:line="259" w:lineRule="auto"/>
      </w:pPr>
      <w:r>
        <w:t>HMRC</w:t>
      </w:r>
      <w:r>
        <w:rPr>
          <w:spacing w:val="-2"/>
        </w:rPr>
        <w:t xml:space="preserve"> </w:t>
      </w:r>
      <w:r>
        <w:t>believe</w:t>
      </w:r>
      <w:r>
        <w:rPr>
          <w:spacing w:val="-1"/>
        </w:rPr>
        <w:t xml:space="preserve"> </w:t>
      </w:r>
      <w:r>
        <w:t>that</w:t>
      </w:r>
      <w:r>
        <w:rPr>
          <w:spacing w:val="-5"/>
        </w:rPr>
        <w:t xml:space="preserve"> </w:t>
      </w:r>
      <w:r>
        <w:t>a</w:t>
      </w:r>
      <w:r>
        <w:rPr>
          <w:spacing w:val="-2"/>
        </w:rPr>
        <w:t xml:space="preserve"> </w:t>
      </w:r>
      <w:r>
        <w:t>substantial</w:t>
      </w:r>
      <w:r>
        <w:rPr>
          <w:spacing w:val="-2"/>
        </w:rPr>
        <w:t xml:space="preserve"> </w:t>
      </w:r>
      <w:r>
        <w:t>part</w:t>
      </w:r>
      <w:r>
        <w:rPr>
          <w:spacing w:val="-4"/>
        </w:rPr>
        <w:t xml:space="preserve"> </w:t>
      </w:r>
      <w:r>
        <w:t>of</w:t>
      </w:r>
      <w:r>
        <w:rPr>
          <w:spacing w:val="-2"/>
        </w:rPr>
        <w:t xml:space="preserve"> </w:t>
      </w:r>
      <w:r>
        <w:t>the</w:t>
      </w:r>
      <w:r>
        <w:rPr>
          <w:spacing w:val="-1"/>
        </w:rPr>
        <w:t xml:space="preserve"> </w:t>
      </w:r>
      <w:r>
        <w:t>tax</w:t>
      </w:r>
      <w:r>
        <w:rPr>
          <w:spacing w:val="-4"/>
        </w:rPr>
        <w:t xml:space="preserve"> </w:t>
      </w:r>
      <w:r>
        <w:t>gap</w:t>
      </w:r>
      <w:r>
        <w:rPr>
          <w:spacing w:val="-3"/>
        </w:rPr>
        <w:t xml:space="preserve"> </w:t>
      </w:r>
      <w:r>
        <w:t>is</w:t>
      </w:r>
      <w:r>
        <w:rPr>
          <w:spacing w:val="-4"/>
        </w:rPr>
        <w:t xml:space="preserve"> </w:t>
      </w:r>
      <w:r>
        <w:t>due</w:t>
      </w:r>
      <w:r>
        <w:rPr>
          <w:spacing w:val="-1"/>
        </w:rPr>
        <w:t xml:space="preserve"> </w:t>
      </w:r>
      <w:r>
        <w:t>to</w:t>
      </w:r>
      <w:r>
        <w:rPr>
          <w:spacing w:val="-3"/>
        </w:rPr>
        <w:t xml:space="preserve"> </w:t>
      </w:r>
      <w:r>
        <w:t>errors</w:t>
      </w:r>
      <w:r>
        <w:rPr>
          <w:spacing w:val="-2"/>
        </w:rPr>
        <w:t xml:space="preserve"> </w:t>
      </w:r>
      <w:r>
        <w:t>in</w:t>
      </w:r>
      <w:r>
        <w:rPr>
          <w:spacing w:val="-3"/>
        </w:rPr>
        <w:t xml:space="preserve"> </w:t>
      </w:r>
      <w:r>
        <w:t>recordkeeping</w:t>
      </w:r>
      <w:r>
        <w:rPr>
          <w:spacing w:val="-3"/>
        </w:rPr>
        <w:t xml:space="preserve"> </w:t>
      </w:r>
      <w:r>
        <w:t>and</w:t>
      </w:r>
      <w:r>
        <w:rPr>
          <w:spacing w:val="-3"/>
        </w:rPr>
        <w:t xml:space="preserve"> </w:t>
      </w:r>
      <w:r>
        <w:t>re-keying</w:t>
      </w:r>
      <w:r>
        <w:rPr>
          <w:spacing w:val="-5"/>
        </w:rPr>
        <w:t xml:space="preserve"> </w:t>
      </w:r>
      <w:r>
        <w:t>of information for submission.</w:t>
      </w:r>
      <w:r>
        <w:rPr>
          <w:spacing w:val="40"/>
        </w:rPr>
        <w:t xml:space="preserve"> </w:t>
      </w:r>
      <w:r>
        <w:t>MTD is driven by the need to reduce errors by the use of efficient recordkeeping, linked to the data ultimately submitted to HMRC, with no re-keying of data.</w:t>
      </w:r>
    </w:p>
    <w:p w14:paraId="7456DEAF" w14:textId="77777777" w:rsidR="008472E5" w:rsidRDefault="008472E5">
      <w:pPr>
        <w:pStyle w:val="BodyText"/>
        <w:spacing w:before="9"/>
        <w:ind w:left="0"/>
        <w:rPr>
          <w:sz w:val="32"/>
        </w:rPr>
      </w:pPr>
    </w:p>
    <w:p w14:paraId="43A9DCB4" w14:textId="77777777" w:rsidR="008472E5" w:rsidRDefault="00BF23EE">
      <w:pPr>
        <w:pStyle w:val="Heading1"/>
        <w:spacing w:before="1"/>
      </w:pPr>
      <w:r>
        <w:rPr>
          <w:color w:val="1F3863"/>
        </w:rPr>
        <w:t>Timeline o</w:t>
      </w:r>
      <w:r>
        <w:rPr>
          <w:color w:val="1F3863"/>
        </w:rPr>
        <w:t>f</w:t>
      </w:r>
      <w:r>
        <w:rPr>
          <w:color w:val="1F3863"/>
          <w:spacing w:val="-1"/>
        </w:rPr>
        <w:t xml:space="preserve"> </w:t>
      </w:r>
      <w:r>
        <w:rPr>
          <w:color w:val="1F3863"/>
          <w:spacing w:val="-2"/>
        </w:rPr>
        <w:t>changes</w:t>
      </w:r>
    </w:p>
    <w:p w14:paraId="6684CC6A" w14:textId="5FCC1EB6" w:rsidR="008472E5" w:rsidRDefault="00BF23EE">
      <w:pPr>
        <w:pStyle w:val="BodyText"/>
        <w:spacing w:before="39" w:line="259" w:lineRule="auto"/>
        <w:ind w:right="184"/>
      </w:pPr>
      <w:r>
        <w:t>The</w:t>
      </w:r>
      <w:r>
        <w:rPr>
          <w:spacing w:val="-1"/>
        </w:rPr>
        <w:t xml:space="preserve"> </w:t>
      </w:r>
      <w:r>
        <w:t>first</w:t>
      </w:r>
      <w:r>
        <w:rPr>
          <w:spacing w:val="-3"/>
        </w:rPr>
        <w:t xml:space="preserve"> </w:t>
      </w:r>
      <w:r>
        <w:t>phase</w:t>
      </w:r>
      <w:r>
        <w:rPr>
          <w:spacing w:val="-3"/>
        </w:rPr>
        <w:t xml:space="preserve"> </w:t>
      </w:r>
      <w:r>
        <w:t>of</w:t>
      </w:r>
      <w:r>
        <w:rPr>
          <w:spacing w:val="-3"/>
        </w:rPr>
        <w:t xml:space="preserve"> </w:t>
      </w:r>
      <w:r>
        <w:t>MTD was</w:t>
      </w:r>
      <w:r>
        <w:rPr>
          <w:spacing w:val="-4"/>
        </w:rPr>
        <w:t xml:space="preserve"> </w:t>
      </w:r>
      <w:r>
        <w:t>for</w:t>
      </w:r>
      <w:r>
        <w:rPr>
          <w:spacing w:val="-1"/>
        </w:rPr>
        <w:t xml:space="preserve"> </w:t>
      </w:r>
      <w:r>
        <w:t>VAT submissions</w:t>
      </w:r>
      <w:r>
        <w:rPr>
          <w:spacing w:val="-4"/>
        </w:rPr>
        <w:t xml:space="preserve"> </w:t>
      </w:r>
      <w:r>
        <w:t>and</w:t>
      </w:r>
      <w:r>
        <w:rPr>
          <w:spacing w:val="-1"/>
        </w:rPr>
        <w:t xml:space="preserve"> </w:t>
      </w:r>
      <w:r>
        <w:t>went</w:t>
      </w:r>
      <w:r>
        <w:rPr>
          <w:spacing w:val="-1"/>
        </w:rPr>
        <w:t xml:space="preserve"> </w:t>
      </w:r>
      <w:r>
        <w:t>live in</w:t>
      </w:r>
      <w:r>
        <w:rPr>
          <w:spacing w:val="-2"/>
        </w:rPr>
        <w:t xml:space="preserve"> </w:t>
      </w:r>
      <w:r>
        <w:t>April</w:t>
      </w:r>
      <w:r>
        <w:rPr>
          <w:spacing w:val="-4"/>
        </w:rPr>
        <w:t xml:space="preserve"> </w:t>
      </w:r>
      <w:r>
        <w:t>2019.</w:t>
      </w:r>
      <w:r>
        <w:rPr>
          <w:spacing w:val="40"/>
        </w:rPr>
        <w:t xml:space="preserve"> </w:t>
      </w:r>
    </w:p>
    <w:p w14:paraId="56291A19" w14:textId="77777777" w:rsidR="00BF23EE" w:rsidRPr="00BF23EE" w:rsidRDefault="00BF23EE" w:rsidP="00BF23EE">
      <w:pPr>
        <w:pStyle w:val="NormalWeb"/>
        <w:shd w:val="clear" w:color="auto" w:fill="FFFFFF"/>
        <w:spacing w:before="300" w:beforeAutospacing="0" w:after="300" w:afterAutospacing="0"/>
        <w:rPr>
          <w:rFonts w:asciiTheme="minorHAnsi" w:hAnsiTheme="minorHAnsi" w:cstheme="minorHAnsi"/>
          <w:color w:val="0B0C0C"/>
          <w:sz w:val="22"/>
          <w:szCs w:val="22"/>
        </w:rPr>
      </w:pPr>
      <w:r w:rsidRPr="00BF23EE">
        <w:rPr>
          <w:rFonts w:asciiTheme="minorHAnsi" w:hAnsiTheme="minorHAnsi" w:cstheme="minorHAnsi"/>
          <w:color w:val="0B0C0C"/>
          <w:sz w:val="22"/>
          <w:szCs w:val="22"/>
        </w:rPr>
        <w:t>You need to follow the requirements for Making Tax Digital for Income Tax if you are self-employed or a landlord from:</w:t>
      </w:r>
    </w:p>
    <w:p w14:paraId="01DB1F3B" w14:textId="77777777" w:rsidR="00BF23EE" w:rsidRPr="00BF23EE" w:rsidRDefault="00BF23EE" w:rsidP="00BF23EE">
      <w:pPr>
        <w:pStyle w:val="NormalWeb"/>
        <w:numPr>
          <w:ilvl w:val="0"/>
          <w:numId w:val="1"/>
        </w:numPr>
        <w:shd w:val="clear" w:color="auto" w:fill="FFFFFF"/>
        <w:spacing w:before="0" w:beforeAutospacing="0" w:after="0" w:afterAutospacing="0"/>
        <w:ind w:left="1020"/>
        <w:rPr>
          <w:rFonts w:asciiTheme="minorHAnsi" w:hAnsiTheme="minorHAnsi" w:cstheme="minorHAnsi"/>
          <w:color w:val="0B0C0C"/>
          <w:sz w:val="22"/>
          <w:szCs w:val="22"/>
        </w:rPr>
      </w:pPr>
      <w:r w:rsidRPr="00BF23EE">
        <w:rPr>
          <w:rFonts w:asciiTheme="minorHAnsi" w:hAnsiTheme="minorHAnsi" w:cstheme="minorHAnsi"/>
          <w:color w:val="0B0C0C"/>
          <w:sz w:val="22"/>
          <w:szCs w:val="22"/>
        </w:rPr>
        <w:t>6 April 2026 if you have an annual business or property income of more than £50,000</w:t>
      </w:r>
    </w:p>
    <w:p w14:paraId="4E49CE5C" w14:textId="77777777" w:rsidR="00BF23EE" w:rsidRPr="00BF23EE" w:rsidRDefault="00BF23EE" w:rsidP="00BF23EE">
      <w:pPr>
        <w:pStyle w:val="NormalWeb"/>
        <w:numPr>
          <w:ilvl w:val="0"/>
          <w:numId w:val="1"/>
        </w:numPr>
        <w:shd w:val="clear" w:color="auto" w:fill="FFFFFF"/>
        <w:spacing w:before="0" w:beforeAutospacing="0" w:after="0" w:afterAutospacing="0"/>
        <w:ind w:left="1020"/>
        <w:rPr>
          <w:rFonts w:asciiTheme="minorHAnsi" w:hAnsiTheme="minorHAnsi" w:cstheme="minorHAnsi"/>
          <w:color w:val="0B0C0C"/>
          <w:sz w:val="22"/>
          <w:szCs w:val="22"/>
        </w:rPr>
      </w:pPr>
      <w:r w:rsidRPr="00BF23EE">
        <w:rPr>
          <w:rFonts w:asciiTheme="minorHAnsi" w:hAnsiTheme="minorHAnsi" w:cstheme="minorHAnsi"/>
          <w:color w:val="0B0C0C"/>
          <w:sz w:val="22"/>
          <w:szCs w:val="22"/>
        </w:rPr>
        <w:t>April 2027 if you have an annual business or property income of more than £30,000</w:t>
      </w:r>
    </w:p>
    <w:p w14:paraId="0FA2F559" w14:textId="68E96B9F" w:rsidR="008472E5" w:rsidRDefault="008472E5">
      <w:pPr>
        <w:pStyle w:val="BodyText"/>
        <w:spacing w:before="11"/>
        <w:ind w:left="0"/>
        <w:rPr>
          <w:sz w:val="32"/>
        </w:rPr>
      </w:pPr>
    </w:p>
    <w:p w14:paraId="5DD29571" w14:textId="72BBF25B" w:rsidR="00BF23EE" w:rsidRDefault="00BF23EE">
      <w:pPr>
        <w:pStyle w:val="BodyText"/>
        <w:spacing w:before="11"/>
        <w:ind w:left="0"/>
        <w:rPr>
          <w:sz w:val="32"/>
        </w:rPr>
      </w:pPr>
    </w:p>
    <w:p w14:paraId="2F4D72E3" w14:textId="493D429C" w:rsidR="00BF23EE" w:rsidRDefault="00BF23EE">
      <w:pPr>
        <w:pStyle w:val="BodyText"/>
        <w:spacing w:before="11"/>
        <w:ind w:left="0"/>
        <w:rPr>
          <w:sz w:val="32"/>
        </w:rPr>
      </w:pPr>
    </w:p>
    <w:p w14:paraId="4E3133D6" w14:textId="509E786D" w:rsidR="00BF23EE" w:rsidRDefault="00BF23EE">
      <w:pPr>
        <w:pStyle w:val="BodyText"/>
        <w:spacing w:before="11"/>
        <w:ind w:left="0"/>
        <w:rPr>
          <w:sz w:val="32"/>
        </w:rPr>
      </w:pPr>
    </w:p>
    <w:p w14:paraId="6A7EC5B6" w14:textId="77777777" w:rsidR="00BF23EE" w:rsidRDefault="00BF23EE">
      <w:pPr>
        <w:pStyle w:val="BodyText"/>
        <w:spacing w:before="11"/>
        <w:ind w:left="0"/>
        <w:rPr>
          <w:sz w:val="32"/>
        </w:rPr>
      </w:pPr>
    </w:p>
    <w:p w14:paraId="79AB0DF4" w14:textId="77777777" w:rsidR="008472E5" w:rsidRDefault="00BF23EE">
      <w:pPr>
        <w:pStyle w:val="Heading1"/>
      </w:pPr>
      <w:r>
        <w:rPr>
          <w:color w:val="1F3863"/>
        </w:rPr>
        <w:t>Periodic</w:t>
      </w:r>
      <w:r>
        <w:rPr>
          <w:color w:val="1F3863"/>
          <w:spacing w:val="-3"/>
        </w:rPr>
        <w:t xml:space="preserve"> </w:t>
      </w:r>
      <w:r>
        <w:rPr>
          <w:color w:val="1F3863"/>
          <w:spacing w:val="-2"/>
        </w:rPr>
        <w:t>Updates</w:t>
      </w:r>
    </w:p>
    <w:p w14:paraId="32433371" w14:textId="77777777" w:rsidR="008472E5" w:rsidRDefault="00BF23EE">
      <w:pPr>
        <w:pStyle w:val="BodyText"/>
        <w:spacing w:before="37"/>
      </w:pPr>
      <w:r>
        <w:t>The</w:t>
      </w:r>
      <w:r>
        <w:rPr>
          <w:spacing w:val="-5"/>
        </w:rPr>
        <w:t xml:space="preserve"> </w:t>
      </w:r>
      <w:r>
        <w:t>main</w:t>
      </w:r>
      <w:r>
        <w:rPr>
          <w:spacing w:val="-4"/>
        </w:rPr>
        <w:t xml:space="preserve"> </w:t>
      </w:r>
      <w:r>
        <w:t>thrust</w:t>
      </w:r>
      <w:r>
        <w:rPr>
          <w:spacing w:val="-4"/>
        </w:rPr>
        <w:t xml:space="preserve"> </w:t>
      </w:r>
      <w:r>
        <w:t>of</w:t>
      </w:r>
      <w:r>
        <w:rPr>
          <w:spacing w:val="-4"/>
        </w:rPr>
        <w:t xml:space="preserve"> </w:t>
      </w:r>
      <w:r>
        <w:t>MTD</w:t>
      </w:r>
      <w:r>
        <w:rPr>
          <w:spacing w:val="-2"/>
        </w:rPr>
        <w:t xml:space="preserve"> </w:t>
      </w:r>
      <w:r>
        <w:t>i</w:t>
      </w:r>
      <w:r>
        <w:t>s</w:t>
      </w:r>
      <w:r>
        <w:rPr>
          <w:spacing w:val="-6"/>
        </w:rPr>
        <w:t xml:space="preserve"> </w:t>
      </w:r>
      <w:r>
        <w:t>periodic (quarterly)</w:t>
      </w:r>
      <w:r>
        <w:rPr>
          <w:spacing w:val="-2"/>
        </w:rPr>
        <w:t xml:space="preserve"> </w:t>
      </w:r>
      <w:r>
        <w:t>digital</w:t>
      </w:r>
      <w:r>
        <w:rPr>
          <w:spacing w:val="-6"/>
        </w:rPr>
        <w:t xml:space="preserve"> </w:t>
      </w:r>
      <w:r>
        <w:t>updates</w:t>
      </w:r>
      <w:r>
        <w:rPr>
          <w:spacing w:val="-2"/>
        </w:rPr>
        <w:t xml:space="preserve"> </w:t>
      </w:r>
      <w:r>
        <w:t>of</w:t>
      </w:r>
      <w:r>
        <w:rPr>
          <w:spacing w:val="-5"/>
        </w:rPr>
        <w:t xml:space="preserve"> </w:t>
      </w:r>
      <w:r>
        <w:t>information</w:t>
      </w:r>
      <w:r>
        <w:rPr>
          <w:spacing w:val="-3"/>
        </w:rPr>
        <w:t xml:space="preserve"> </w:t>
      </w:r>
      <w:r>
        <w:t>to</w:t>
      </w:r>
      <w:r>
        <w:rPr>
          <w:spacing w:val="-3"/>
        </w:rPr>
        <w:t xml:space="preserve"> </w:t>
      </w:r>
      <w:r>
        <w:rPr>
          <w:spacing w:val="-2"/>
        </w:rPr>
        <w:t>HMRC.</w:t>
      </w:r>
    </w:p>
    <w:p w14:paraId="57193BCF" w14:textId="77777777" w:rsidR="008472E5" w:rsidRDefault="00BF23EE">
      <w:pPr>
        <w:pStyle w:val="BodyText"/>
        <w:spacing w:before="183" w:line="259" w:lineRule="auto"/>
        <w:ind w:right="551"/>
        <w:jc w:val="both"/>
      </w:pPr>
      <w:r>
        <w:t>Initially focused</w:t>
      </w:r>
      <w:r>
        <w:rPr>
          <w:spacing w:val="-1"/>
        </w:rPr>
        <w:t xml:space="preserve"> </w:t>
      </w:r>
      <w:r>
        <w:t>on VAT, any business with turnover over the registration threshold was required</w:t>
      </w:r>
      <w:r>
        <w:rPr>
          <w:spacing w:val="-1"/>
        </w:rPr>
        <w:t xml:space="preserve"> </w:t>
      </w:r>
      <w:r>
        <w:t>to provide</w:t>
      </w:r>
      <w:r>
        <w:rPr>
          <w:spacing w:val="-4"/>
        </w:rPr>
        <w:t xml:space="preserve"> </w:t>
      </w:r>
      <w:r>
        <w:t>the</w:t>
      </w:r>
      <w:r>
        <w:rPr>
          <w:spacing w:val="-1"/>
        </w:rPr>
        <w:t xml:space="preserve"> </w:t>
      </w:r>
      <w:r>
        <w:t>VAT</w:t>
      </w:r>
      <w:r>
        <w:rPr>
          <w:spacing w:val="-2"/>
        </w:rPr>
        <w:t xml:space="preserve"> </w:t>
      </w:r>
      <w:r>
        <w:t>return</w:t>
      </w:r>
      <w:r>
        <w:rPr>
          <w:spacing w:val="-4"/>
        </w:rPr>
        <w:t xml:space="preserve"> </w:t>
      </w:r>
      <w:r>
        <w:t>data</w:t>
      </w:r>
      <w:r>
        <w:rPr>
          <w:spacing w:val="-2"/>
        </w:rPr>
        <w:t xml:space="preserve"> </w:t>
      </w:r>
      <w:r>
        <w:t>via</w:t>
      </w:r>
      <w:r>
        <w:rPr>
          <w:spacing w:val="-2"/>
        </w:rPr>
        <w:t xml:space="preserve"> </w:t>
      </w:r>
      <w:r>
        <w:t>software,</w:t>
      </w:r>
      <w:r>
        <w:rPr>
          <w:spacing w:val="-2"/>
        </w:rPr>
        <w:t xml:space="preserve"> </w:t>
      </w:r>
      <w:r>
        <w:t>rather</w:t>
      </w:r>
      <w:r>
        <w:rPr>
          <w:spacing w:val="-5"/>
        </w:rPr>
        <w:t xml:space="preserve"> </w:t>
      </w:r>
      <w:r>
        <w:t>than</w:t>
      </w:r>
      <w:r>
        <w:rPr>
          <w:spacing w:val="-5"/>
        </w:rPr>
        <w:t xml:space="preserve"> </w:t>
      </w:r>
      <w:r>
        <w:t>either</w:t>
      </w:r>
      <w:r>
        <w:rPr>
          <w:spacing w:val="-2"/>
        </w:rPr>
        <w:t xml:space="preserve"> </w:t>
      </w:r>
      <w:r>
        <w:t>by</w:t>
      </w:r>
      <w:r>
        <w:rPr>
          <w:spacing w:val="-2"/>
        </w:rPr>
        <w:t xml:space="preserve"> </w:t>
      </w:r>
      <w:r>
        <w:t>paper</w:t>
      </w:r>
      <w:r>
        <w:rPr>
          <w:spacing w:val="-2"/>
        </w:rPr>
        <w:t xml:space="preserve"> </w:t>
      </w:r>
      <w:r>
        <w:t>or</w:t>
      </w:r>
      <w:r>
        <w:rPr>
          <w:spacing w:val="-2"/>
        </w:rPr>
        <w:t xml:space="preserve"> </w:t>
      </w:r>
      <w:r>
        <w:t>by</w:t>
      </w:r>
      <w:r>
        <w:rPr>
          <w:spacing w:val="-2"/>
        </w:rPr>
        <w:t xml:space="preserve"> </w:t>
      </w:r>
      <w:r>
        <w:t>typing</w:t>
      </w:r>
      <w:r>
        <w:rPr>
          <w:spacing w:val="-3"/>
        </w:rPr>
        <w:t xml:space="preserve"> </w:t>
      </w:r>
      <w:r>
        <w:t>data</w:t>
      </w:r>
      <w:r>
        <w:rPr>
          <w:spacing w:val="-2"/>
        </w:rPr>
        <w:t xml:space="preserve"> </w:t>
      </w:r>
      <w:r>
        <w:t>into</w:t>
      </w:r>
      <w:r>
        <w:rPr>
          <w:spacing w:val="-3"/>
        </w:rPr>
        <w:t xml:space="preserve"> </w:t>
      </w:r>
      <w:r>
        <w:t xml:space="preserve">HMRC’s </w:t>
      </w:r>
      <w:r>
        <w:rPr>
          <w:spacing w:val="-2"/>
        </w:rPr>
        <w:t>gateway.</w:t>
      </w:r>
    </w:p>
    <w:p w14:paraId="62923EA1" w14:textId="77777777" w:rsidR="00BF23EE" w:rsidRDefault="00BF23EE">
      <w:pPr>
        <w:spacing w:line="259" w:lineRule="auto"/>
        <w:jc w:val="both"/>
      </w:pPr>
    </w:p>
    <w:p w14:paraId="651DF4C9" w14:textId="77777777" w:rsidR="008472E5" w:rsidRDefault="00BF23EE">
      <w:pPr>
        <w:pStyle w:val="BodyText"/>
        <w:spacing w:before="57" w:line="259" w:lineRule="auto"/>
        <w:ind w:right="107"/>
      </w:pPr>
      <w:r>
        <w:t>For MTD for Business, business owners and property landlords will be required to submit quarterly information in</w:t>
      </w:r>
      <w:r>
        <w:rPr>
          <w:spacing w:val="-1"/>
        </w:rPr>
        <w:t xml:space="preserve"> </w:t>
      </w:r>
      <w:r>
        <w:t>respect of recorded income and expenses.</w:t>
      </w:r>
      <w:r>
        <w:rPr>
          <w:spacing w:val="40"/>
        </w:rPr>
        <w:t xml:space="preserve"> </w:t>
      </w:r>
      <w:r>
        <w:t>These submissions are not replacing the need for</w:t>
      </w:r>
      <w:r>
        <w:rPr>
          <w:spacing w:val="-2"/>
        </w:rPr>
        <w:t xml:space="preserve"> </w:t>
      </w:r>
      <w:r>
        <w:t>annual</w:t>
      </w:r>
      <w:r>
        <w:rPr>
          <w:spacing w:val="-2"/>
        </w:rPr>
        <w:t xml:space="preserve"> </w:t>
      </w:r>
      <w:r>
        <w:t>profit</w:t>
      </w:r>
      <w:r>
        <w:rPr>
          <w:spacing w:val="-1"/>
        </w:rPr>
        <w:t xml:space="preserve"> </w:t>
      </w:r>
      <w:r>
        <w:t>calculation</w:t>
      </w:r>
      <w:r>
        <w:rPr>
          <w:spacing w:val="-3"/>
        </w:rPr>
        <w:t xml:space="preserve"> </w:t>
      </w:r>
      <w:r>
        <w:t>but</w:t>
      </w:r>
      <w:r>
        <w:rPr>
          <w:spacing w:val="-1"/>
        </w:rPr>
        <w:t xml:space="preserve"> </w:t>
      </w:r>
      <w:r>
        <w:t>are</w:t>
      </w:r>
      <w:r>
        <w:rPr>
          <w:spacing w:val="-2"/>
        </w:rPr>
        <w:t xml:space="preserve"> </w:t>
      </w:r>
      <w:r>
        <w:t>an</w:t>
      </w:r>
      <w:r>
        <w:rPr>
          <w:spacing w:val="-2"/>
        </w:rPr>
        <w:t xml:space="preserve"> </w:t>
      </w:r>
      <w:r>
        <w:t>additional</w:t>
      </w:r>
      <w:r>
        <w:rPr>
          <w:spacing w:val="-2"/>
        </w:rPr>
        <w:t xml:space="preserve"> </w:t>
      </w:r>
      <w:r>
        <w:t>step</w:t>
      </w:r>
      <w:r>
        <w:rPr>
          <w:spacing w:val="-3"/>
        </w:rPr>
        <w:t xml:space="preserve"> </w:t>
      </w:r>
      <w:r>
        <w:t>to</w:t>
      </w:r>
      <w:r>
        <w:rPr>
          <w:spacing w:val="-1"/>
        </w:rPr>
        <w:t xml:space="preserve"> </w:t>
      </w:r>
      <w:r>
        <w:t>provide</w:t>
      </w:r>
      <w:r>
        <w:rPr>
          <w:spacing w:val="-1"/>
        </w:rPr>
        <w:t xml:space="preserve"> </w:t>
      </w:r>
      <w:r>
        <w:t>an</w:t>
      </w:r>
      <w:r>
        <w:rPr>
          <w:spacing w:val="-3"/>
        </w:rPr>
        <w:t xml:space="preserve"> </w:t>
      </w:r>
      <w:r>
        <w:t>indication</w:t>
      </w:r>
      <w:r>
        <w:rPr>
          <w:spacing w:val="-3"/>
        </w:rPr>
        <w:t xml:space="preserve"> </w:t>
      </w:r>
      <w:r>
        <w:t>to</w:t>
      </w:r>
      <w:r>
        <w:rPr>
          <w:spacing w:val="-1"/>
        </w:rPr>
        <w:t xml:space="preserve"> </w:t>
      </w:r>
      <w:r>
        <w:t>HMRC</w:t>
      </w:r>
      <w:r>
        <w:rPr>
          <w:spacing w:val="-2"/>
        </w:rPr>
        <w:t xml:space="preserve"> </w:t>
      </w:r>
      <w:r>
        <w:t>that</w:t>
      </w:r>
      <w:r>
        <w:rPr>
          <w:spacing w:val="-2"/>
        </w:rPr>
        <w:t xml:space="preserve"> </w:t>
      </w:r>
      <w:r>
        <w:t>records</w:t>
      </w:r>
      <w:r>
        <w:rPr>
          <w:spacing w:val="-4"/>
        </w:rPr>
        <w:t xml:space="preserve"> </w:t>
      </w:r>
      <w:r>
        <w:t>are being maintained, and an indicative level of net income currently being received.</w:t>
      </w:r>
    </w:p>
    <w:p w14:paraId="4944ACD1" w14:textId="77777777" w:rsidR="008472E5" w:rsidRDefault="008472E5">
      <w:pPr>
        <w:pStyle w:val="BodyText"/>
        <w:spacing w:before="10"/>
        <w:ind w:left="0"/>
        <w:rPr>
          <w:sz w:val="32"/>
        </w:rPr>
      </w:pPr>
    </w:p>
    <w:p w14:paraId="6AA6BA0C" w14:textId="77777777" w:rsidR="008472E5" w:rsidRDefault="00BF23EE">
      <w:pPr>
        <w:pStyle w:val="Heading1"/>
      </w:pPr>
      <w:r>
        <w:rPr>
          <w:color w:val="1F3863"/>
          <w:spacing w:val="-2"/>
        </w:rPr>
        <w:t>Recordkeeping</w:t>
      </w:r>
    </w:p>
    <w:p w14:paraId="193C3C52" w14:textId="77777777" w:rsidR="008472E5" w:rsidRDefault="00BF23EE">
      <w:pPr>
        <w:pStyle w:val="BodyText"/>
        <w:spacing w:before="40" w:line="259" w:lineRule="auto"/>
      </w:pPr>
      <w:r>
        <w:t>Part of</w:t>
      </w:r>
      <w:r>
        <w:t xml:space="preserve"> MTD is the requirement to keep records digitally. This does not necessarily mean the use of expensive</w:t>
      </w:r>
      <w:r>
        <w:rPr>
          <w:spacing w:val="-1"/>
        </w:rPr>
        <w:t xml:space="preserve"> </w:t>
      </w:r>
      <w:r>
        <w:t>software</w:t>
      </w:r>
      <w:r>
        <w:rPr>
          <w:spacing w:val="-4"/>
        </w:rPr>
        <w:t xml:space="preserve"> </w:t>
      </w:r>
      <w:r>
        <w:t>–</w:t>
      </w:r>
      <w:r>
        <w:rPr>
          <w:spacing w:val="-1"/>
        </w:rPr>
        <w:t xml:space="preserve"> </w:t>
      </w:r>
      <w:r>
        <w:t>for</w:t>
      </w:r>
      <w:r>
        <w:rPr>
          <w:spacing w:val="-2"/>
        </w:rPr>
        <w:t xml:space="preserve"> </w:t>
      </w:r>
      <w:r>
        <w:t>some</w:t>
      </w:r>
      <w:r>
        <w:rPr>
          <w:spacing w:val="-1"/>
        </w:rPr>
        <w:t xml:space="preserve"> </w:t>
      </w:r>
      <w:r>
        <w:t>businesses,</w:t>
      </w:r>
      <w:r>
        <w:rPr>
          <w:spacing w:val="-4"/>
        </w:rPr>
        <w:t xml:space="preserve"> </w:t>
      </w:r>
      <w:r>
        <w:t>the</w:t>
      </w:r>
      <w:r>
        <w:rPr>
          <w:spacing w:val="-1"/>
        </w:rPr>
        <w:t xml:space="preserve"> </w:t>
      </w:r>
      <w:r>
        <w:t>use</w:t>
      </w:r>
      <w:r>
        <w:rPr>
          <w:spacing w:val="-4"/>
        </w:rPr>
        <w:t xml:space="preserve"> </w:t>
      </w:r>
      <w:r>
        <w:t>of</w:t>
      </w:r>
      <w:r>
        <w:rPr>
          <w:spacing w:val="-2"/>
        </w:rPr>
        <w:t xml:space="preserve"> </w:t>
      </w:r>
      <w:r>
        <w:t>simple</w:t>
      </w:r>
      <w:r>
        <w:rPr>
          <w:spacing w:val="-2"/>
        </w:rPr>
        <w:t xml:space="preserve"> </w:t>
      </w:r>
      <w:r>
        <w:t>spreadsheets</w:t>
      </w:r>
      <w:r>
        <w:rPr>
          <w:spacing w:val="-1"/>
        </w:rPr>
        <w:t xml:space="preserve"> </w:t>
      </w:r>
      <w:r>
        <w:t>will</w:t>
      </w:r>
      <w:r>
        <w:rPr>
          <w:spacing w:val="-5"/>
        </w:rPr>
        <w:t xml:space="preserve"> </w:t>
      </w:r>
      <w:r>
        <w:t>be</w:t>
      </w:r>
      <w:r>
        <w:rPr>
          <w:spacing w:val="-4"/>
        </w:rPr>
        <w:t xml:space="preserve"> </w:t>
      </w:r>
      <w:r>
        <w:t>perfectly</w:t>
      </w:r>
      <w:r>
        <w:rPr>
          <w:spacing w:val="-2"/>
        </w:rPr>
        <w:t xml:space="preserve"> </w:t>
      </w:r>
      <w:r>
        <w:t>adequate.</w:t>
      </w:r>
    </w:p>
    <w:p w14:paraId="36E2E716" w14:textId="77777777" w:rsidR="008472E5" w:rsidRDefault="00BF23EE">
      <w:pPr>
        <w:pStyle w:val="BodyText"/>
        <w:spacing w:line="267" w:lineRule="exact"/>
      </w:pPr>
      <w:r>
        <w:t>However,</w:t>
      </w:r>
      <w:r>
        <w:rPr>
          <w:spacing w:val="-6"/>
        </w:rPr>
        <w:t xml:space="preserve"> </w:t>
      </w:r>
      <w:r>
        <w:t>software</w:t>
      </w:r>
      <w:r>
        <w:rPr>
          <w:spacing w:val="-2"/>
        </w:rPr>
        <w:t xml:space="preserve"> </w:t>
      </w:r>
      <w:r>
        <w:t>that</w:t>
      </w:r>
      <w:r>
        <w:rPr>
          <w:spacing w:val="-4"/>
        </w:rPr>
        <w:t xml:space="preserve"> </w:t>
      </w:r>
      <w:r>
        <w:t>allows</w:t>
      </w:r>
      <w:r>
        <w:rPr>
          <w:spacing w:val="-5"/>
        </w:rPr>
        <w:t xml:space="preserve"> </w:t>
      </w:r>
      <w:r>
        <w:t>submission</w:t>
      </w:r>
      <w:r>
        <w:rPr>
          <w:spacing w:val="-4"/>
        </w:rPr>
        <w:t xml:space="preserve"> </w:t>
      </w:r>
      <w:r>
        <w:t>directly</w:t>
      </w:r>
      <w:r>
        <w:rPr>
          <w:spacing w:val="-5"/>
        </w:rPr>
        <w:t xml:space="preserve"> </w:t>
      </w:r>
      <w:r>
        <w:t>to</w:t>
      </w:r>
      <w:r>
        <w:rPr>
          <w:spacing w:val="-5"/>
        </w:rPr>
        <w:t xml:space="preserve"> </w:t>
      </w:r>
      <w:r>
        <w:t>HMRC</w:t>
      </w:r>
      <w:r>
        <w:rPr>
          <w:spacing w:val="-5"/>
        </w:rPr>
        <w:t xml:space="preserve"> </w:t>
      </w:r>
      <w:r>
        <w:t>will</w:t>
      </w:r>
      <w:r>
        <w:rPr>
          <w:spacing w:val="-3"/>
        </w:rPr>
        <w:t xml:space="preserve"> </w:t>
      </w:r>
      <w:r>
        <w:t>offer</w:t>
      </w:r>
      <w:r>
        <w:rPr>
          <w:spacing w:val="-5"/>
        </w:rPr>
        <w:t xml:space="preserve"> </w:t>
      </w:r>
      <w:r>
        <w:t>efficiency</w:t>
      </w:r>
      <w:r>
        <w:rPr>
          <w:spacing w:val="-4"/>
        </w:rPr>
        <w:t xml:space="preserve"> </w:t>
      </w:r>
      <w:r>
        <w:t>for</w:t>
      </w:r>
      <w:r>
        <w:rPr>
          <w:spacing w:val="-5"/>
        </w:rPr>
        <w:t xml:space="preserve"> </w:t>
      </w:r>
      <w:r>
        <w:t>most</w:t>
      </w:r>
      <w:r>
        <w:rPr>
          <w:spacing w:val="-2"/>
        </w:rPr>
        <w:t xml:space="preserve"> business</w:t>
      </w:r>
    </w:p>
    <w:p w14:paraId="39C813E7" w14:textId="77777777" w:rsidR="008472E5" w:rsidRDefault="00BF23EE">
      <w:pPr>
        <w:pStyle w:val="BodyText"/>
        <w:spacing w:before="22" w:line="259" w:lineRule="auto"/>
      </w:pPr>
      <w:r>
        <w:t>owners.</w:t>
      </w:r>
      <w:r>
        <w:rPr>
          <w:spacing w:val="-2"/>
        </w:rPr>
        <w:t xml:space="preserve"> </w:t>
      </w:r>
      <w:r>
        <w:t>Importantly,</w:t>
      </w:r>
      <w:r>
        <w:rPr>
          <w:spacing w:val="-4"/>
        </w:rPr>
        <w:t xml:space="preserve"> </w:t>
      </w:r>
      <w:r>
        <w:t>there</w:t>
      </w:r>
      <w:r>
        <w:rPr>
          <w:spacing w:val="-4"/>
        </w:rPr>
        <w:t xml:space="preserve"> </w:t>
      </w:r>
      <w:r>
        <w:t>is</w:t>
      </w:r>
      <w:r>
        <w:rPr>
          <w:spacing w:val="-2"/>
        </w:rPr>
        <w:t xml:space="preserve"> </w:t>
      </w:r>
      <w:r>
        <w:t>not</w:t>
      </w:r>
      <w:r>
        <w:rPr>
          <w:spacing w:val="-4"/>
        </w:rPr>
        <w:t xml:space="preserve"> </w:t>
      </w:r>
      <w:r>
        <w:t>a</w:t>
      </w:r>
      <w:r>
        <w:rPr>
          <w:spacing w:val="-4"/>
        </w:rPr>
        <w:t xml:space="preserve"> </w:t>
      </w:r>
      <w:r>
        <w:t>“one</w:t>
      </w:r>
      <w:r>
        <w:rPr>
          <w:spacing w:val="-1"/>
        </w:rPr>
        <w:t xml:space="preserve"> </w:t>
      </w:r>
      <w:r>
        <w:t>size</w:t>
      </w:r>
      <w:r>
        <w:rPr>
          <w:spacing w:val="-1"/>
        </w:rPr>
        <w:t xml:space="preserve"> </w:t>
      </w:r>
      <w:r>
        <w:t>fits</w:t>
      </w:r>
      <w:r>
        <w:rPr>
          <w:spacing w:val="-1"/>
        </w:rPr>
        <w:t xml:space="preserve"> </w:t>
      </w:r>
      <w:r>
        <w:t>all”</w:t>
      </w:r>
      <w:r>
        <w:rPr>
          <w:spacing w:val="-1"/>
        </w:rPr>
        <w:t xml:space="preserve"> </w:t>
      </w:r>
      <w:r>
        <w:t>approach –</w:t>
      </w:r>
      <w:r>
        <w:rPr>
          <w:spacing w:val="-4"/>
        </w:rPr>
        <w:t xml:space="preserve"> </w:t>
      </w:r>
      <w:r>
        <w:t>the</w:t>
      </w:r>
      <w:r>
        <w:rPr>
          <w:spacing w:val="-2"/>
        </w:rPr>
        <w:t xml:space="preserve"> </w:t>
      </w:r>
      <w:r>
        <w:t>appropriate</w:t>
      </w:r>
      <w:r>
        <w:rPr>
          <w:spacing w:val="-6"/>
        </w:rPr>
        <w:t xml:space="preserve"> </w:t>
      </w:r>
      <w:r>
        <w:t>software</w:t>
      </w:r>
      <w:r>
        <w:rPr>
          <w:spacing w:val="-1"/>
        </w:rPr>
        <w:t xml:space="preserve"> </w:t>
      </w:r>
      <w:r>
        <w:t>for</w:t>
      </w:r>
      <w:r>
        <w:rPr>
          <w:spacing w:val="-1"/>
        </w:rPr>
        <w:t xml:space="preserve"> </w:t>
      </w:r>
      <w:r>
        <w:t>a</w:t>
      </w:r>
      <w:r>
        <w:rPr>
          <w:spacing w:val="-5"/>
        </w:rPr>
        <w:t xml:space="preserve"> </w:t>
      </w:r>
      <w:r>
        <w:t>private landlord is likely to be different to the software requirements of a large business with detailed stock contro</w:t>
      </w:r>
      <w:r>
        <w:t>l and invoicing requirements.</w:t>
      </w:r>
    </w:p>
    <w:p w14:paraId="4BB067BF" w14:textId="77777777" w:rsidR="008472E5" w:rsidRDefault="008472E5">
      <w:pPr>
        <w:pStyle w:val="BodyText"/>
        <w:spacing w:before="9"/>
        <w:ind w:left="0"/>
        <w:rPr>
          <w:sz w:val="32"/>
        </w:rPr>
      </w:pPr>
    </w:p>
    <w:p w14:paraId="4988FAA1" w14:textId="77777777" w:rsidR="008472E5" w:rsidRDefault="00BF23EE">
      <w:pPr>
        <w:pStyle w:val="Heading1"/>
        <w:spacing w:before="1"/>
      </w:pPr>
      <w:r>
        <w:rPr>
          <w:color w:val="1F3863"/>
        </w:rPr>
        <w:t>Comparison</w:t>
      </w:r>
      <w:r>
        <w:rPr>
          <w:color w:val="1F3863"/>
          <w:spacing w:val="-3"/>
        </w:rPr>
        <w:t xml:space="preserve"> </w:t>
      </w:r>
      <w:r>
        <w:rPr>
          <w:color w:val="1F3863"/>
        </w:rPr>
        <w:t>to</w:t>
      </w:r>
      <w:r>
        <w:rPr>
          <w:color w:val="1F3863"/>
          <w:spacing w:val="-4"/>
        </w:rPr>
        <w:t xml:space="preserve"> </w:t>
      </w:r>
      <w:r>
        <w:rPr>
          <w:color w:val="1F3863"/>
        </w:rPr>
        <w:t>current</w:t>
      </w:r>
      <w:r>
        <w:rPr>
          <w:color w:val="1F3863"/>
          <w:spacing w:val="-2"/>
        </w:rPr>
        <w:t xml:space="preserve"> process</w:t>
      </w:r>
    </w:p>
    <w:p w14:paraId="2703D013" w14:textId="77777777" w:rsidR="008472E5" w:rsidRDefault="00BF23EE">
      <w:pPr>
        <w:pStyle w:val="BodyText"/>
        <w:spacing w:before="39" w:line="259" w:lineRule="auto"/>
      </w:pPr>
      <w:r>
        <w:t>Currently,</w:t>
      </w:r>
      <w:r>
        <w:rPr>
          <w:spacing w:val="-3"/>
        </w:rPr>
        <w:t xml:space="preserve"> </w:t>
      </w:r>
      <w:r>
        <w:t>there</w:t>
      </w:r>
      <w:r>
        <w:rPr>
          <w:spacing w:val="-3"/>
        </w:rPr>
        <w:t xml:space="preserve"> </w:t>
      </w:r>
      <w:r>
        <w:t>is</w:t>
      </w:r>
      <w:r>
        <w:rPr>
          <w:spacing w:val="-2"/>
        </w:rPr>
        <w:t xml:space="preserve"> </w:t>
      </w:r>
      <w:r>
        <w:t>an</w:t>
      </w:r>
      <w:r>
        <w:rPr>
          <w:spacing w:val="-3"/>
        </w:rPr>
        <w:t xml:space="preserve"> </w:t>
      </w:r>
      <w:r>
        <w:t>annual</w:t>
      </w:r>
      <w:r>
        <w:rPr>
          <w:spacing w:val="-2"/>
        </w:rPr>
        <w:t xml:space="preserve"> </w:t>
      </w:r>
      <w:r>
        <w:t>tax</w:t>
      </w:r>
      <w:r>
        <w:rPr>
          <w:spacing w:val="-3"/>
        </w:rPr>
        <w:t xml:space="preserve"> </w:t>
      </w:r>
      <w:r>
        <w:t>compliance</w:t>
      </w:r>
      <w:r>
        <w:rPr>
          <w:spacing w:val="-3"/>
        </w:rPr>
        <w:t xml:space="preserve"> </w:t>
      </w:r>
      <w:r>
        <w:t>process,</w:t>
      </w:r>
      <w:r>
        <w:rPr>
          <w:spacing w:val="-3"/>
        </w:rPr>
        <w:t xml:space="preserve"> </w:t>
      </w:r>
      <w:r>
        <w:t>built</w:t>
      </w:r>
      <w:r>
        <w:rPr>
          <w:spacing w:val="-2"/>
        </w:rPr>
        <w:t xml:space="preserve"> </w:t>
      </w:r>
      <w:r>
        <w:t>around</w:t>
      </w:r>
      <w:r>
        <w:rPr>
          <w:spacing w:val="-3"/>
        </w:rPr>
        <w:t xml:space="preserve"> </w:t>
      </w:r>
      <w:r>
        <w:t>the</w:t>
      </w:r>
      <w:r>
        <w:rPr>
          <w:spacing w:val="-3"/>
        </w:rPr>
        <w:t xml:space="preserve"> </w:t>
      </w:r>
      <w:r>
        <w:t>self-assessment</w:t>
      </w:r>
      <w:r>
        <w:rPr>
          <w:spacing w:val="-3"/>
        </w:rPr>
        <w:t xml:space="preserve"> </w:t>
      </w:r>
      <w:r>
        <w:t>tax</w:t>
      </w:r>
      <w:r>
        <w:rPr>
          <w:spacing w:val="-3"/>
        </w:rPr>
        <w:t xml:space="preserve"> </w:t>
      </w:r>
      <w:r>
        <w:t>return.</w:t>
      </w:r>
      <w:r>
        <w:rPr>
          <w:spacing w:val="40"/>
        </w:rPr>
        <w:t xml:space="preserve"> </w:t>
      </w:r>
      <w:r>
        <w:t>The process is to collate all trading and other income and submit the data to HMRC before the 31 January following the end of the tax year.</w:t>
      </w:r>
    </w:p>
    <w:p w14:paraId="58523DB8" w14:textId="77777777" w:rsidR="008472E5" w:rsidRDefault="00BF23EE">
      <w:pPr>
        <w:pStyle w:val="BodyText"/>
        <w:spacing w:before="160" w:line="259" w:lineRule="auto"/>
        <w:ind w:right="136"/>
      </w:pPr>
      <w:r>
        <w:t>The MTD process has additional requirements, that need to be considered.</w:t>
      </w:r>
      <w:r>
        <w:rPr>
          <w:spacing w:val="40"/>
        </w:rPr>
        <w:t xml:space="preserve"> </w:t>
      </w:r>
      <w:r>
        <w:t>As mentioned above,</w:t>
      </w:r>
      <w:r>
        <w:rPr>
          <w:spacing w:val="40"/>
        </w:rPr>
        <w:t xml:space="preserve"> </w:t>
      </w:r>
      <w:r>
        <w:t>traders and landlords h</w:t>
      </w:r>
      <w:r>
        <w:t>ave a quarterly update process, and the deadline for that process is one month. After the tax year end, there will still be an annual process, of adjusting trading income, and submitting that</w:t>
      </w:r>
      <w:r>
        <w:rPr>
          <w:spacing w:val="-2"/>
        </w:rPr>
        <w:t xml:space="preserve"> </w:t>
      </w:r>
      <w:r>
        <w:t>to</w:t>
      </w:r>
      <w:r>
        <w:rPr>
          <w:spacing w:val="-1"/>
        </w:rPr>
        <w:t xml:space="preserve"> </w:t>
      </w:r>
      <w:r>
        <w:t>HMRC</w:t>
      </w:r>
      <w:r>
        <w:rPr>
          <w:spacing w:val="-2"/>
        </w:rPr>
        <w:t xml:space="preserve"> </w:t>
      </w:r>
      <w:r>
        <w:t>together</w:t>
      </w:r>
      <w:r>
        <w:rPr>
          <w:spacing w:val="-4"/>
        </w:rPr>
        <w:t xml:space="preserve"> </w:t>
      </w:r>
      <w:r>
        <w:t>with</w:t>
      </w:r>
      <w:r>
        <w:rPr>
          <w:spacing w:val="-2"/>
        </w:rPr>
        <w:t xml:space="preserve"> </w:t>
      </w:r>
      <w:r>
        <w:t>non-trading</w:t>
      </w:r>
      <w:r>
        <w:rPr>
          <w:spacing w:val="-3"/>
        </w:rPr>
        <w:t xml:space="preserve"> </w:t>
      </w:r>
      <w:r>
        <w:t>income.</w:t>
      </w:r>
      <w:r>
        <w:rPr>
          <w:spacing w:val="40"/>
        </w:rPr>
        <w:t xml:space="preserve"> </w:t>
      </w:r>
      <w:r>
        <w:t>In</w:t>
      </w:r>
      <w:r>
        <w:rPr>
          <w:spacing w:val="-3"/>
        </w:rPr>
        <w:t xml:space="preserve"> </w:t>
      </w:r>
      <w:r>
        <w:t>the</w:t>
      </w:r>
      <w:r>
        <w:rPr>
          <w:spacing w:val="-1"/>
        </w:rPr>
        <w:t xml:space="preserve"> </w:t>
      </w:r>
      <w:r>
        <w:t>future,</w:t>
      </w:r>
      <w:r>
        <w:rPr>
          <w:spacing w:val="-2"/>
        </w:rPr>
        <w:t xml:space="preserve"> </w:t>
      </w:r>
      <w:r>
        <w:t>HMRC</w:t>
      </w:r>
      <w:r>
        <w:rPr>
          <w:spacing w:val="-4"/>
        </w:rPr>
        <w:t xml:space="preserve"> </w:t>
      </w:r>
      <w:r>
        <w:t>wi</w:t>
      </w:r>
      <w:r>
        <w:t>ll</w:t>
      </w:r>
      <w:r>
        <w:rPr>
          <w:spacing w:val="-2"/>
        </w:rPr>
        <w:t xml:space="preserve"> </w:t>
      </w:r>
      <w:r>
        <w:t>be</w:t>
      </w:r>
      <w:r>
        <w:rPr>
          <w:spacing w:val="-4"/>
        </w:rPr>
        <w:t xml:space="preserve"> </w:t>
      </w:r>
      <w:r>
        <w:t>able</w:t>
      </w:r>
      <w:r>
        <w:rPr>
          <w:spacing w:val="-1"/>
        </w:rPr>
        <w:t xml:space="preserve"> </w:t>
      </w:r>
      <w:r>
        <w:t>to</w:t>
      </w:r>
      <w:r>
        <w:rPr>
          <w:spacing w:val="-3"/>
        </w:rPr>
        <w:t xml:space="preserve"> </w:t>
      </w:r>
      <w:r>
        <w:t>obtain</w:t>
      </w:r>
      <w:r>
        <w:rPr>
          <w:spacing w:val="-3"/>
        </w:rPr>
        <w:t xml:space="preserve"> </w:t>
      </w:r>
      <w:r>
        <w:t>data</w:t>
      </w:r>
      <w:r>
        <w:rPr>
          <w:spacing w:val="-2"/>
        </w:rPr>
        <w:t xml:space="preserve"> </w:t>
      </w:r>
      <w:r>
        <w:t>directly from third parties (e.g. HMRC will obtain your bank interest figures directly from your bank), so the annual submission process will be more straight forward.</w:t>
      </w:r>
    </w:p>
    <w:sectPr w:rsidR="008472E5">
      <w:headerReference w:type="default" r:id="rId7"/>
      <w:footerReference w:type="default" r:id="rId8"/>
      <w:pgSz w:w="12240" w:h="15840"/>
      <w:pgMar w:top="2060" w:right="1320" w:bottom="2820" w:left="1340" w:header="720" w:footer="2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0725" w14:textId="77777777" w:rsidR="00000000" w:rsidRDefault="00BF23EE">
      <w:r>
        <w:separator/>
      </w:r>
    </w:p>
  </w:endnote>
  <w:endnote w:type="continuationSeparator" w:id="0">
    <w:p w14:paraId="7E0D45FB" w14:textId="77777777" w:rsidR="00000000" w:rsidRDefault="00B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D9CE" w14:textId="77777777" w:rsidR="008472E5" w:rsidRDefault="00BF23EE">
    <w:pPr>
      <w:pStyle w:val="BodyText"/>
      <w:spacing w:line="14" w:lineRule="auto"/>
      <w:ind w:left="0"/>
      <w:rPr>
        <w:sz w:val="20"/>
      </w:rPr>
    </w:pPr>
    <w:r>
      <w:pict w14:anchorId="1829F92D">
        <v:shapetype id="_x0000_t202" coordsize="21600,21600" o:spt="202" path="m,l,21600r21600,l21600,xe">
          <v:stroke joinstyle="miter"/>
          <v:path gradientshapeok="t" o:connecttype="rect"/>
        </v:shapetype>
        <v:shape id="docshape1" o:spid="_x0000_s2051" type="#_x0000_t202" style="position:absolute;margin-left:71pt;margin-top:649.9pt;width:83.25pt;height:66.7pt;z-index:-15768064;mso-position-horizontal-relative:page;mso-position-vertical-relative:page" filled="f" stroked="f">
          <v:textbox inset="0,0,0,0">
            <w:txbxContent>
              <w:p w14:paraId="05442574" w14:textId="77777777" w:rsidR="008472E5" w:rsidRDefault="00BF23EE">
                <w:pPr>
                  <w:pStyle w:val="BodyText"/>
                  <w:spacing w:line="245" w:lineRule="exact"/>
                  <w:ind w:left="20"/>
                </w:pPr>
                <w:r>
                  <w:t>J</w:t>
                </w:r>
                <w:r>
                  <w:rPr>
                    <w:spacing w:val="-5"/>
                  </w:rPr>
                  <w:t xml:space="preserve"> </w:t>
                </w:r>
                <w:r>
                  <w:t>C</w:t>
                </w:r>
                <w:r>
                  <w:rPr>
                    <w:spacing w:val="-2"/>
                  </w:rPr>
                  <w:t xml:space="preserve"> </w:t>
                </w:r>
                <w:r>
                  <w:t>Accounting</w:t>
                </w:r>
                <w:r>
                  <w:rPr>
                    <w:spacing w:val="-2"/>
                  </w:rPr>
                  <w:t xml:space="preserve"> </w:t>
                </w:r>
                <w:r>
                  <w:rPr>
                    <w:spacing w:val="-5"/>
                  </w:rPr>
                  <w:t>Ltd</w:t>
                </w:r>
              </w:p>
              <w:p w14:paraId="225D887E" w14:textId="77777777" w:rsidR="008472E5" w:rsidRDefault="00BF23EE">
                <w:pPr>
                  <w:pStyle w:val="BodyText"/>
                  <w:ind w:left="20" w:right="469"/>
                </w:pPr>
                <w:r>
                  <w:rPr>
                    <w:spacing w:val="-2"/>
                  </w:rPr>
                  <w:t xml:space="preserve">Burtonfield </w:t>
                </w:r>
                <w:r>
                  <w:t xml:space="preserve">Lynn Road </w:t>
                </w:r>
                <w:r>
                  <w:rPr>
                    <w:spacing w:val="-2"/>
                  </w:rPr>
                  <w:t xml:space="preserve">Wisbech </w:t>
                </w:r>
                <w:r>
                  <w:t>PE14 7AL</w:t>
                </w:r>
              </w:p>
            </w:txbxContent>
          </v:textbox>
          <w10:wrap anchorx="page" anchory="page"/>
        </v:shape>
      </w:pict>
    </w:r>
    <w:r>
      <w:pict w14:anchorId="1D48F79C">
        <v:shape id="docshape2" o:spid="_x0000_s2050" type="#_x0000_t202" style="position:absolute;margin-left:392.3pt;margin-top:676.75pt;width:132.05pt;height:13.05pt;z-index:-15767552;mso-position-horizontal-relative:page;mso-position-vertical-relative:page" filled="f" stroked="f">
          <v:textbox inset="0,0,0,0">
            <w:txbxContent>
              <w:p w14:paraId="28683C32" w14:textId="77777777" w:rsidR="008472E5" w:rsidRDefault="00BF23EE">
                <w:pPr>
                  <w:pStyle w:val="BodyText"/>
                  <w:spacing w:line="245" w:lineRule="exact"/>
                  <w:ind w:left="20"/>
                </w:pPr>
                <w:hyperlink r:id="rId1">
                  <w:r>
                    <w:rPr>
                      <w:spacing w:val="-2"/>
                    </w:rPr>
                    <w:t>Jayne@jcaccountingltd.co.uk</w:t>
                  </w:r>
                </w:hyperlink>
              </w:p>
            </w:txbxContent>
          </v:textbox>
          <w10:wrap anchorx="page" anchory="page"/>
        </v:shape>
      </w:pict>
    </w:r>
    <w:r>
      <w:pict w14:anchorId="134FE15C">
        <v:shape id="docshape3" o:spid="_x0000_s2049" type="#_x0000_t202" style="position:absolute;margin-left:458.55pt;margin-top:703.5pt;width:65.95pt;height:13.05pt;z-index:-15767040;mso-position-horizontal-relative:page;mso-position-vertical-relative:page" filled="f" stroked="f">
          <v:textbox inset="0,0,0,0">
            <w:txbxContent>
              <w:p w14:paraId="68538FA7" w14:textId="77777777" w:rsidR="008472E5" w:rsidRDefault="00BF23EE">
                <w:pPr>
                  <w:pStyle w:val="BodyText"/>
                  <w:spacing w:line="245" w:lineRule="exact"/>
                  <w:ind w:left="20"/>
                </w:pPr>
                <w:r>
                  <w:t>07899</w:t>
                </w:r>
                <w:r>
                  <w:rPr>
                    <w:spacing w:val="-4"/>
                  </w:rPr>
                  <w:t xml:space="preserve"> </w:t>
                </w:r>
                <w:r>
                  <w:rPr>
                    <w:spacing w:val="-2"/>
                  </w:rPr>
                  <w:t>871845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FBB9" w14:textId="77777777" w:rsidR="00000000" w:rsidRDefault="00BF23EE">
      <w:r>
        <w:separator/>
      </w:r>
    </w:p>
  </w:footnote>
  <w:footnote w:type="continuationSeparator" w:id="0">
    <w:p w14:paraId="32E7C42C" w14:textId="77777777" w:rsidR="00000000" w:rsidRDefault="00BF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5B6" w14:textId="77777777" w:rsidR="008472E5" w:rsidRDefault="00BF23EE">
    <w:pPr>
      <w:pStyle w:val="BodyText"/>
      <w:spacing w:line="14" w:lineRule="auto"/>
      <w:ind w:left="0"/>
      <w:rPr>
        <w:sz w:val="20"/>
      </w:rPr>
    </w:pPr>
    <w:r>
      <w:rPr>
        <w:noProof/>
      </w:rPr>
      <w:drawing>
        <wp:anchor distT="0" distB="0" distL="0" distR="0" simplePos="0" relativeHeight="251658240" behindDoc="1" locked="0" layoutInCell="1" allowOverlap="1" wp14:anchorId="1889930C" wp14:editId="70DAE256">
          <wp:simplePos x="0" y="0"/>
          <wp:positionH relativeFrom="page">
            <wp:posOffset>914400</wp:posOffset>
          </wp:positionH>
          <wp:positionV relativeFrom="page">
            <wp:posOffset>457200</wp:posOffset>
          </wp:positionV>
          <wp:extent cx="857250" cy="857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7250"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34383"/>
    <w:multiLevelType w:val="multilevel"/>
    <w:tmpl w:val="618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472E5"/>
    <w:rsid w:val="008472E5"/>
    <w:rsid w:val="00BF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3EB48D"/>
  <w15:docId w15:val="{F27E103E-DA47-4A05-913C-8F9A7EEF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ind w:left="103" w:right="2928"/>
    </w:pPr>
    <w:rPr>
      <w:rFonts w:ascii="Calibri Light" w:eastAsia="Calibri Light" w:hAnsi="Calibri Light" w:cs="Calibri Light"/>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23E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26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yne@jcaccounting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2709</Characters>
  <Application>Microsoft Office Word</Application>
  <DocSecurity>0</DocSecurity>
  <Lines>169</Lines>
  <Paragraphs>94</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Mark A. (TR Product)</dc:creator>
  <cp:lastModifiedBy>Jayne Perry</cp:lastModifiedBy>
  <cp:revision>2</cp:revision>
  <dcterms:created xsi:type="dcterms:W3CDTF">2023-03-17T06:40:00Z</dcterms:created>
  <dcterms:modified xsi:type="dcterms:W3CDTF">2023-03-17T06:40:00Z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for Microsoft 365</vt:lpwstr>
  </property>
  <property fmtid="{D5CDD505-2E9C-101B-9397-08002B2CF9AE}" pid="4" name="LastSaved">
    <vt:filetime>2023-03-17T00:00:00Z</vt:filetime>
  </property>
  <property fmtid="{D5CDD505-2E9C-101B-9397-08002B2CF9AE}" pid="5" name="Producer">
    <vt:lpwstr>Microsoft® Word for Microsoft 365</vt:lpwstr>
  </property>
</Properties>
</file>